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p>
    <w:p>
      <w:pPr>
        <w:jc w:val="center"/>
        <w:rPr>
          <w:rFonts w:hint="eastAsia"/>
        </w:rPr>
      </w:pPr>
    </w:p>
    <w:p>
      <w:pPr>
        <w:jc w:val="center"/>
        <w:rPr>
          <w:rFonts w:hint="eastAsia"/>
        </w:rPr>
      </w:pPr>
    </w:p>
    <w:p>
      <w:pPr>
        <w:jc w:val="center"/>
        <w:rPr>
          <w:rFonts w:hint="eastAsia"/>
        </w:rPr>
      </w:pPr>
    </w:p>
    <w:p>
      <w:pP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rPr>
      </w:pPr>
    </w:p>
    <w:p>
      <w:pPr>
        <w:jc w:val="center"/>
        <w:rPr>
          <w:rFonts w:hint="eastAsia"/>
          <w:sz w:val="32"/>
          <w:szCs w:val="32"/>
        </w:rPr>
      </w:pPr>
    </w:p>
    <w:p>
      <w:pPr>
        <w:jc w:val="center"/>
        <w:rPr>
          <w:rFonts w:hint="eastAsia" w:ascii="仿宋" w:hAnsi="仿宋" w:eastAsia="仿宋"/>
          <w:b/>
          <w:color w:val="FF0000"/>
          <w:sz w:val="32"/>
          <w:szCs w:val="32"/>
          <w:u w:val="single"/>
        </w:rPr>
      </w:pPr>
      <w:r>
        <w:rPr>
          <w:rFonts w:hint="eastAsia" w:ascii="仿宋" w:hAnsi="仿宋" w:eastAsia="仿宋"/>
          <w:sz w:val="32"/>
          <w:szCs w:val="32"/>
        </w:rPr>
        <w:t>驻开环函[201</w:t>
      </w:r>
      <w:r>
        <w:rPr>
          <w:rFonts w:hint="eastAsia" w:ascii="仿宋" w:hAnsi="仿宋" w:eastAsia="仿宋"/>
          <w:sz w:val="32"/>
          <w:szCs w:val="32"/>
          <w:lang w:val="en-US" w:eastAsia="zh-CN"/>
        </w:rPr>
        <w:t>9</w:t>
      </w:r>
      <w:r>
        <w:rPr>
          <w:rFonts w:hint="eastAsia" w:ascii="仿宋" w:hAnsi="仿宋" w:eastAsia="仿宋"/>
          <w:sz w:val="32"/>
          <w:szCs w:val="32"/>
        </w:rPr>
        <w:t>]</w:t>
      </w:r>
      <w:r>
        <w:rPr>
          <w:rFonts w:hint="eastAsia" w:ascii="仿宋" w:hAnsi="仿宋" w:eastAsia="仿宋"/>
          <w:sz w:val="32"/>
          <w:szCs w:val="32"/>
          <w:lang w:val="en-US" w:eastAsia="zh-CN"/>
        </w:rPr>
        <w:t>11</w:t>
      </w:r>
      <w:r>
        <w:rPr>
          <w:rFonts w:hint="eastAsia" w:ascii="仿宋" w:hAnsi="仿宋" w:eastAsia="仿宋"/>
          <w:sz w:val="32"/>
          <w:szCs w:val="32"/>
        </w:rPr>
        <w:t>号</w:t>
      </w:r>
    </w:p>
    <w:p>
      <w:pPr>
        <w:jc w:val="center"/>
        <w:rPr>
          <w:rFonts w:hint="eastAsia"/>
          <w:sz w:val="32"/>
          <w:szCs w:val="32"/>
        </w:rPr>
      </w:pPr>
    </w:p>
    <w:p>
      <w:pPr>
        <w:jc w:val="center"/>
        <w:rPr>
          <w:rFonts w:hint="eastAsia"/>
          <w:b/>
          <w:bCs/>
          <w:sz w:val="44"/>
          <w:szCs w:val="44"/>
        </w:rPr>
      </w:pPr>
    </w:p>
    <w:p>
      <w:pPr>
        <w:jc w:val="center"/>
        <w:rPr>
          <w:rFonts w:ascii="黑体" w:hAnsi="黑体" w:eastAsia="黑体"/>
          <w:b/>
          <w:bCs/>
          <w:sz w:val="44"/>
          <w:szCs w:val="44"/>
        </w:rPr>
      </w:pPr>
      <w:r>
        <w:rPr>
          <w:rFonts w:hint="eastAsia" w:ascii="黑体" w:hAnsi="黑体" w:eastAsia="黑体"/>
          <w:b/>
          <w:bCs/>
          <w:sz w:val="44"/>
          <w:szCs w:val="44"/>
        </w:rPr>
        <w:t>关于驻马店鑫丰玻璃有限公司玻璃加工项目固废污染防治设施</w:t>
      </w:r>
    </w:p>
    <w:p>
      <w:pPr>
        <w:jc w:val="center"/>
        <w:rPr>
          <w:rFonts w:ascii="黑体" w:hAnsi="黑体" w:eastAsia="黑体"/>
          <w:b/>
          <w:bCs/>
          <w:sz w:val="44"/>
          <w:szCs w:val="44"/>
        </w:rPr>
      </w:pPr>
      <w:r>
        <w:rPr>
          <w:rFonts w:hint="eastAsia" w:ascii="黑体" w:hAnsi="黑体" w:eastAsia="黑体"/>
          <w:b/>
          <w:bCs/>
          <w:sz w:val="44"/>
          <w:szCs w:val="44"/>
        </w:rPr>
        <w:t>竣工环境保护验收合格的函</w:t>
      </w:r>
    </w:p>
    <w:p>
      <w:pPr>
        <w:jc w:val="center"/>
        <w:rPr>
          <w:rFonts w:ascii="黑体" w:hAnsi="黑体" w:eastAsia="黑体"/>
          <w:sz w:val="30"/>
          <w:szCs w:val="30"/>
        </w:rPr>
      </w:pPr>
    </w:p>
    <w:p>
      <w:pPr>
        <w:widowControl/>
        <w:shd w:val="clear" w:color="auto" w:fill="FFFFFF"/>
        <w:jc w:val="left"/>
        <w:rPr>
          <w:rFonts w:hint="eastAsia" w:ascii="仿宋" w:hAnsi="仿宋" w:eastAsia="仿宋" w:cs="仿宋"/>
          <w:color w:val="333333"/>
          <w:kern w:val="0"/>
          <w:sz w:val="32"/>
          <w:szCs w:val="32"/>
        </w:rPr>
      </w:pPr>
      <w:r>
        <w:rPr>
          <w:rFonts w:ascii="Times New Roman" w:hAnsi="Times New Roman" w:eastAsia="宋体" w:cs="Times New Roman"/>
          <w:color w:val="333333"/>
          <w:kern w:val="0"/>
          <w:sz w:val="24"/>
          <w:szCs w:val="24"/>
        </w:rPr>
        <w:t> </w:t>
      </w:r>
    </w:p>
    <w:p>
      <w:pPr>
        <w:rPr>
          <w:rFonts w:hint="eastAsia" w:ascii="仿宋" w:hAnsi="仿宋" w:eastAsia="仿宋" w:cs="仿宋"/>
          <w:sz w:val="30"/>
          <w:szCs w:val="30"/>
        </w:rPr>
      </w:pPr>
      <w:r>
        <w:rPr>
          <w:rFonts w:hint="eastAsia" w:ascii="仿宋" w:hAnsi="仿宋" w:eastAsia="仿宋" w:cs="仿宋"/>
          <w:sz w:val="30"/>
          <w:szCs w:val="30"/>
        </w:rPr>
        <w:t>驻马店鑫丰玻璃有限公司：</w:t>
      </w:r>
    </w:p>
    <w:p>
      <w:pPr>
        <w:ind w:firstLine="570"/>
        <w:rPr>
          <w:rFonts w:hint="eastAsia" w:ascii="仿宋" w:hAnsi="仿宋" w:eastAsia="仿宋" w:cs="仿宋"/>
          <w:sz w:val="30"/>
          <w:szCs w:val="30"/>
        </w:rPr>
      </w:pPr>
      <w:r>
        <w:rPr>
          <w:rFonts w:hint="eastAsia" w:ascii="仿宋" w:hAnsi="仿宋" w:eastAsia="仿宋" w:cs="仿宋"/>
          <w:sz w:val="30"/>
          <w:szCs w:val="30"/>
        </w:rPr>
        <w:t>你公司《关于驻驻马店鑫丰玻璃有限公司玻璃加工项目（固废污染防治设施）竣工环境保护验收的请示》及报送的《驻马店鑫丰玻璃有限公司玻璃加工项目竣工环境保护验收（固体废物）监测报告》（以下简称验收报告）等材料收悉。驻马店市环境保护局经济开发区分局对该项目进行了竣工环保验收现场调查。经研究，提出验收意见如下：</w:t>
      </w:r>
    </w:p>
    <w:p>
      <w:pPr>
        <w:pStyle w:val="10"/>
        <w:numPr>
          <w:ilvl w:val="0"/>
          <w:numId w:val="1"/>
        </w:numPr>
        <w:ind w:firstLineChars="0"/>
        <w:rPr>
          <w:rFonts w:hint="eastAsia" w:ascii="仿宋" w:hAnsi="仿宋" w:eastAsia="仿宋" w:cs="仿宋"/>
          <w:b/>
          <w:sz w:val="30"/>
          <w:szCs w:val="30"/>
        </w:rPr>
      </w:pPr>
      <w:r>
        <w:rPr>
          <w:rFonts w:hint="eastAsia" w:ascii="仿宋" w:hAnsi="仿宋" w:eastAsia="仿宋" w:cs="仿宋"/>
          <w:b/>
          <w:sz w:val="30"/>
          <w:szCs w:val="30"/>
        </w:rPr>
        <w:t>项目建设的基本情况</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项驻马店鑫丰玻璃有限公司玻璃加工项目租赁河南人和粮油食品有限公司的用地和厂房，租赁厂房3000m</w:t>
      </w:r>
      <w:r>
        <w:rPr>
          <w:rFonts w:hint="eastAsia" w:ascii="仿宋" w:hAnsi="仿宋" w:eastAsia="仿宋" w:cs="仿宋"/>
          <w:sz w:val="30"/>
          <w:szCs w:val="30"/>
          <w:vertAlign w:val="superscript"/>
        </w:rPr>
        <w:t>2</w:t>
      </w:r>
      <w:r>
        <w:rPr>
          <w:rFonts w:hint="eastAsia" w:ascii="仿宋" w:hAnsi="仿宋" w:eastAsia="仿宋" w:cs="仿宋"/>
          <w:sz w:val="30"/>
          <w:szCs w:val="30"/>
        </w:rPr>
        <w:t>，总投资500万元，职工人数30人（均不在厂区食宿）。主要产品及规模为年产钢化玻璃30万m</w:t>
      </w:r>
      <w:r>
        <w:rPr>
          <w:rFonts w:hint="eastAsia" w:ascii="仿宋" w:hAnsi="仿宋" w:eastAsia="仿宋" w:cs="仿宋"/>
          <w:sz w:val="30"/>
          <w:szCs w:val="30"/>
          <w:vertAlign w:val="superscript"/>
        </w:rPr>
        <w:t>2</w:t>
      </w:r>
      <w:r>
        <w:rPr>
          <w:rFonts w:hint="eastAsia" w:ascii="仿宋" w:hAnsi="仿宋" w:eastAsia="仿宋" w:cs="仿宋"/>
          <w:sz w:val="30"/>
          <w:szCs w:val="30"/>
        </w:rPr>
        <w:t>，中空玻璃8万m</w:t>
      </w:r>
      <w:r>
        <w:rPr>
          <w:rFonts w:hint="eastAsia" w:ascii="仿宋" w:hAnsi="仿宋" w:eastAsia="仿宋" w:cs="仿宋"/>
          <w:sz w:val="30"/>
          <w:szCs w:val="30"/>
          <w:vertAlign w:val="superscript"/>
        </w:rPr>
        <w:t>2</w:t>
      </w:r>
      <w:r>
        <w:rPr>
          <w:rFonts w:hint="eastAsia" w:ascii="仿宋" w:hAnsi="仿宋" w:eastAsia="仿宋" w:cs="仿宋"/>
          <w:sz w:val="30"/>
          <w:szCs w:val="30"/>
        </w:rPr>
        <w:t>，夹胶玻璃0.8万m</w:t>
      </w:r>
      <w:r>
        <w:rPr>
          <w:rFonts w:hint="eastAsia" w:ascii="仿宋" w:hAnsi="仿宋" w:eastAsia="仿宋" w:cs="仿宋"/>
          <w:sz w:val="30"/>
          <w:szCs w:val="30"/>
          <w:vertAlign w:val="superscript"/>
        </w:rPr>
        <w:t>2</w:t>
      </w:r>
      <w:r>
        <w:rPr>
          <w:rFonts w:hint="eastAsia" w:ascii="仿宋" w:hAnsi="仿宋" w:eastAsia="仿宋" w:cs="仿宋"/>
          <w:sz w:val="30"/>
          <w:szCs w:val="30"/>
        </w:rPr>
        <w:t>，防火玻璃0.2万m</w:t>
      </w:r>
      <w:r>
        <w:rPr>
          <w:rFonts w:hint="eastAsia" w:ascii="仿宋" w:hAnsi="仿宋" w:eastAsia="仿宋" w:cs="仿宋"/>
          <w:sz w:val="30"/>
          <w:szCs w:val="30"/>
          <w:vertAlign w:val="superscript"/>
        </w:rPr>
        <w:t>2</w:t>
      </w:r>
      <w:r>
        <w:rPr>
          <w:rFonts w:hint="eastAsia" w:ascii="仿宋" w:hAnsi="仿宋" w:eastAsia="仿宋" w:cs="仿宋"/>
          <w:sz w:val="30"/>
          <w:szCs w:val="30"/>
        </w:rPr>
        <w:t>。该项目环境影响报告表于2018年04月由重庆环科院博达环保科技有限公司编制完成，2018年5月21日由驻马店市环境保护局经济开发区分局以（驻开环监表[2018]3号）予以批复。项目于2018年6月开工建设，2018年12月项目主体工程已建设完成，配套建设的固废废物防治设施同步建成。</w:t>
      </w:r>
    </w:p>
    <w:p>
      <w:pPr>
        <w:pStyle w:val="10"/>
        <w:numPr>
          <w:ilvl w:val="0"/>
          <w:numId w:val="1"/>
        </w:numPr>
        <w:spacing w:line="360" w:lineRule="auto"/>
        <w:ind w:firstLineChars="0"/>
        <w:jc w:val="left"/>
        <w:rPr>
          <w:rFonts w:hint="eastAsia" w:ascii="仿宋" w:hAnsi="仿宋" w:eastAsia="仿宋" w:cs="仿宋"/>
          <w:b/>
          <w:color w:val="000000"/>
          <w:sz w:val="30"/>
          <w:szCs w:val="30"/>
        </w:rPr>
      </w:pPr>
      <w:r>
        <w:rPr>
          <w:rFonts w:hint="eastAsia" w:ascii="仿宋" w:hAnsi="仿宋" w:eastAsia="仿宋" w:cs="仿宋"/>
          <w:b/>
          <w:color w:val="000000"/>
          <w:sz w:val="30"/>
          <w:szCs w:val="30"/>
        </w:rPr>
        <w:t>固体废物污染防治设施落实情况</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项目产生的固体废物主要包括生产固废和生活垃圾。生产固废集中收集后定期由玻璃生产厂家回收利用，生活垃圾通过垃圾收集桶收集后由当地环卫部门每天清运。</w:t>
      </w:r>
    </w:p>
    <w:p>
      <w:pPr>
        <w:spacing w:line="360" w:lineRule="auto"/>
        <w:ind w:left="570"/>
        <w:jc w:val="left"/>
        <w:rPr>
          <w:rFonts w:hint="eastAsia" w:ascii="仿宋" w:hAnsi="仿宋" w:eastAsia="仿宋" w:cs="仿宋"/>
          <w:b/>
          <w:sz w:val="30"/>
          <w:szCs w:val="30"/>
        </w:rPr>
      </w:pPr>
      <w:r>
        <w:rPr>
          <w:rFonts w:hint="eastAsia" w:ascii="仿宋" w:hAnsi="仿宋" w:eastAsia="仿宋" w:cs="仿宋"/>
          <w:b/>
          <w:sz w:val="30"/>
          <w:szCs w:val="30"/>
        </w:rPr>
        <w:t>三、固体废物污染防治设施运行效果</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根据现场检查，项目生产固废集中收集后定期由玻璃生产厂家回收利用，生活垃圾收集后由环卫部门每天清运，项目固体废物全部合理处置。</w:t>
      </w:r>
    </w:p>
    <w:p>
      <w:pPr>
        <w:spacing w:line="360" w:lineRule="auto"/>
        <w:jc w:val="left"/>
        <w:rPr>
          <w:rFonts w:hint="eastAsia" w:ascii="仿宋" w:hAnsi="仿宋" w:eastAsia="仿宋" w:cs="仿宋"/>
          <w:b/>
          <w:sz w:val="30"/>
          <w:szCs w:val="30"/>
        </w:rPr>
      </w:pPr>
      <w:r>
        <w:rPr>
          <w:rFonts w:hint="eastAsia" w:ascii="仿宋" w:hAnsi="仿宋" w:eastAsia="仿宋" w:cs="仿宋"/>
          <w:sz w:val="30"/>
          <w:szCs w:val="30"/>
        </w:rPr>
        <w:t xml:space="preserve">    </w:t>
      </w:r>
      <w:r>
        <w:rPr>
          <w:rFonts w:hint="eastAsia" w:ascii="仿宋" w:hAnsi="仿宋" w:eastAsia="仿宋" w:cs="仿宋"/>
          <w:b/>
          <w:sz w:val="30"/>
          <w:szCs w:val="30"/>
        </w:rPr>
        <w:t xml:space="preserve"> 四、验收结论和后续要求</w:t>
      </w:r>
    </w:p>
    <w:p>
      <w:pPr>
        <w:spacing w:line="360" w:lineRule="auto"/>
        <w:ind w:firstLine="600" w:firstLineChars="200"/>
        <w:jc w:val="left"/>
        <w:rPr>
          <w:rFonts w:hint="eastAsia" w:ascii="仿宋" w:hAnsi="仿宋" w:eastAsia="仿宋" w:cs="仿宋"/>
          <w:sz w:val="30"/>
          <w:szCs w:val="30"/>
        </w:rPr>
      </w:pPr>
      <w:r>
        <w:rPr>
          <w:rFonts w:hint="eastAsia" w:ascii="仿宋" w:hAnsi="仿宋" w:eastAsia="仿宋" w:cs="仿宋"/>
          <w:sz w:val="30"/>
          <w:szCs w:val="30"/>
        </w:rPr>
        <w:t xml:space="preserve"> 该项目在实施过程中基本按照环境影响评价文件及其要求配套建设了相应的固体废物污染防治设施。经研究，我局原则同意该项目固体废物环境保护设施验收合格。</w:t>
      </w:r>
    </w:p>
    <w:p>
      <w:pPr>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你公司应按照生态环境部《建设项目竣工环境保护验收办法》的规定，对该项目其他环境保护设施开展竣工环保验收，验收合格后，主体工程方可正式投入运营。</w:t>
      </w:r>
    </w:p>
    <w:p>
      <w:pPr>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w:t>
      </w:r>
    </w:p>
    <w:p>
      <w:pPr>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w:t>
      </w:r>
    </w:p>
    <w:p>
      <w:pPr>
        <w:spacing w:line="360" w:lineRule="auto"/>
        <w:jc w:val="left"/>
        <w:rPr>
          <w:rFonts w:hint="eastAsia" w:ascii="仿宋" w:hAnsi="仿宋" w:eastAsia="仿宋" w:cs="仿宋"/>
          <w:sz w:val="30"/>
          <w:szCs w:val="30"/>
        </w:rPr>
      </w:pPr>
    </w:p>
    <w:p>
      <w:pPr>
        <w:spacing w:line="360" w:lineRule="auto"/>
        <w:jc w:val="left"/>
        <w:rPr>
          <w:rFonts w:hint="eastAsia" w:ascii="仿宋" w:hAnsi="仿宋" w:eastAsia="仿宋" w:cs="仿宋"/>
          <w:sz w:val="30"/>
          <w:szCs w:val="30"/>
        </w:rPr>
      </w:pPr>
    </w:p>
    <w:p>
      <w:pPr>
        <w:spacing w:line="360" w:lineRule="auto"/>
        <w:jc w:val="left"/>
        <w:rPr>
          <w:rFonts w:hint="eastAsia" w:ascii="仿宋" w:hAnsi="仿宋" w:eastAsia="仿宋" w:cs="仿宋"/>
          <w:sz w:val="30"/>
          <w:szCs w:val="30"/>
        </w:rPr>
      </w:pPr>
    </w:p>
    <w:p>
      <w:pPr>
        <w:spacing w:line="360" w:lineRule="auto"/>
        <w:jc w:val="left"/>
        <w:rPr>
          <w:rFonts w:hint="eastAsia" w:ascii="仿宋" w:hAnsi="仿宋" w:eastAsia="仿宋" w:cs="仿宋"/>
          <w:sz w:val="30"/>
          <w:szCs w:val="30"/>
        </w:rPr>
      </w:pPr>
    </w:p>
    <w:p>
      <w:pPr>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w:t>
      </w:r>
      <w:r>
        <w:rPr>
          <w:rFonts w:hint="eastAsia" w:ascii="仿宋" w:hAnsi="仿宋" w:eastAsia="仿宋" w:cs="仿宋"/>
          <w:sz w:val="30"/>
          <w:szCs w:val="30"/>
          <w:lang w:val="en-US" w:eastAsia="zh-CN"/>
        </w:rPr>
        <w:t xml:space="preserve">                      </w:t>
      </w:r>
      <w:r>
        <w:rPr>
          <w:rFonts w:hint="eastAsia" w:ascii="仿宋" w:hAnsi="仿宋" w:eastAsia="仿宋" w:cs="仿宋"/>
          <w:sz w:val="30"/>
          <w:szCs w:val="30"/>
        </w:rPr>
        <w:t>驻马店市环境保护局经济开发区分局</w:t>
      </w:r>
    </w:p>
    <w:p>
      <w:pPr>
        <w:spacing w:line="360" w:lineRule="auto"/>
        <w:jc w:val="left"/>
        <w:rPr>
          <w:rFonts w:hint="eastAsia" w:ascii="仿宋" w:hAnsi="仿宋" w:eastAsia="仿宋" w:cs="仿宋"/>
          <w:sz w:val="30"/>
          <w:szCs w:val="30"/>
        </w:rPr>
      </w:pPr>
      <w:r>
        <w:rPr>
          <w:rFonts w:hint="eastAsia" w:ascii="仿宋" w:hAnsi="仿宋" w:eastAsia="仿宋" w:cs="仿宋"/>
          <w:sz w:val="30"/>
          <w:szCs w:val="30"/>
        </w:rPr>
        <w:t xml:space="preserve">                                 2019年04月30日</w:t>
      </w:r>
      <w:bookmarkStart w:id="0" w:name="_GoBack"/>
      <w:bookmarkEnd w:id="0"/>
    </w:p>
    <w:p>
      <w:pPr>
        <w:spacing w:line="360" w:lineRule="auto"/>
        <w:ind w:firstLine="2100" w:firstLineChars="700"/>
        <w:jc w:val="left"/>
        <w:rPr>
          <w:rFonts w:hint="eastAsia" w:ascii="仿宋" w:hAnsi="仿宋" w:eastAsia="仿宋" w:cs="仿宋"/>
          <w:color w:val="333333"/>
          <w:kern w:val="0"/>
          <w:sz w:val="30"/>
          <w:szCs w:val="30"/>
        </w:rPr>
      </w:pPr>
    </w:p>
    <w:p>
      <w:pPr>
        <w:spacing w:line="360" w:lineRule="auto"/>
        <w:ind w:firstLine="2100" w:firstLineChars="700"/>
        <w:jc w:val="left"/>
        <w:rPr>
          <w:rFonts w:hint="eastAsia" w:ascii="仿宋" w:hAnsi="仿宋" w:eastAsia="仿宋" w:cs="仿宋"/>
          <w:color w:val="333333"/>
          <w:kern w:val="0"/>
          <w:sz w:val="30"/>
          <w:szCs w:val="30"/>
        </w:rPr>
      </w:pPr>
    </w:p>
    <w:p>
      <w:pPr>
        <w:widowControl/>
        <w:shd w:val="clear" w:color="auto" w:fill="FFFFFF"/>
        <w:spacing w:line="360" w:lineRule="auto"/>
        <w:jc w:val="left"/>
        <w:rPr>
          <w:rFonts w:hint="eastAsia" w:ascii="仿宋" w:hAnsi="仿宋" w:eastAsia="仿宋" w:cs="仿宋"/>
          <w:color w:val="333333"/>
          <w:kern w:val="0"/>
          <w:sz w:val="30"/>
          <w:szCs w:val="30"/>
        </w:rPr>
      </w:pPr>
      <w:r>
        <w:rPr>
          <w:rFonts w:hint="eastAsia" w:ascii="仿宋" w:hAnsi="仿宋" w:eastAsia="仿宋" w:cs="仿宋"/>
          <w:color w:val="333333"/>
          <w:kern w:val="0"/>
          <w:sz w:val="30"/>
          <w:szCs w:val="30"/>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C41D99"/>
    <w:multiLevelType w:val="multilevel"/>
    <w:tmpl w:val="42C41D99"/>
    <w:lvl w:ilvl="0" w:tentative="0">
      <w:start w:val="1"/>
      <w:numFmt w:val="japaneseCounting"/>
      <w:lvlText w:val="%1、"/>
      <w:lvlJc w:val="left"/>
      <w:pPr>
        <w:ind w:left="1290" w:hanging="720"/>
      </w:pPr>
      <w:rPr>
        <w:rFonts w:hint="default"/>
      </w:rPr>
    </w:lvl>
    <w:lvl w:ilvl="1" w:tentative="0">
      <w:start w:val="1"/>
      <w:numFmt w:val="lowerLetter"/>
      <w:lvlText w:val="%2)"/>
      <w:lvlJc w:val="left"/>
      <w:pPr>
        <w:ind w:left="1410" w:hanging="420"/>
      </w:pPr>
    </w:lvl>
    <w:lvl w:ilvl="2" w:tentative="0">
      <w:start w:val="1"/>
      <w:numFmt w:val="lowerRoman"/>
      <w:lvlText w:val="%3."/>
      <w:lvlJc w:val="right"/>
      <w:pPr>
        <w:ind w:left="1830" w:hanging="420"/>
      </w:pPr>
    </w:lvl>
    <w:lvl w:ilvl="3" w:tentative="0">
      <w:start w:val="1"/>
      <w:numFmt w:val="decimal"/>
      <w:lvlText w:val="%4."/>
      <w:lvlJc w:val="left"/>
      <w:pPr>
        <w:ind w:left="2250" w:hanging="420"/>
      </w:pPr>
    </w:lvl>
    <w:lvl w:ilvl="4" w:tentative="0">
      <w:start w:val="1"/>
      <w:numFmt w:val="lowerLetter"/>
      <w:lvlText w:val="%5)"/>
      <w:lvlJc w:val="left"/>
      <w:pPr>
        <w:ind w:left="2670" w:hanging="420"/>
      </w:pPr>
    </w:lvl>
    <w:lvl w:ilvl="5" w:tentative="0">
      <w:start w:val="1"/>
      <w:numFmt w:val="lowerRoman"/>
      <w:lvlText w:val="%6."/>
      <w:lvlJc w:val="right"/>
      <w:pPr>
        <w:ind w:left="3090" w:hanging="420"/>
      </w:pPr>
    </w:lvl>
    <w:lvl w:ilvl="6" w:tentative="0">
      <w:start w:val="1"/>
      <w:numFmt w:val="decimal"/>
      <w:lvlText w:val="%7."/>
      <w:lvlJc w:val="left"/>
      <w:pPr>
        <w:ind w:left="3510" w:hanging="420"/>
      </w:pPr>
    </w:lvl>
    <w:lvl w:ilvl="7" w:tentative="0">
      <w:start w:val="1"/>
      <w:numFmt w:val="lowerLetter"/>
      <w:lvlText w:val="%8)"/>
      <w:lvlJc w:val="left"/>
      <w:pPr>
        <w:ind w:left="3930" w:hanging="420"/>
      </w:pPr>
    </w:lvl>
    <w:lvl w:ilvl="8" w:tentative="0">
      <w:start w:val="1"/>
      <w:numFmt w:val="lowerRoman"/>
      <w:lvlText w:val="%9."/>
      <w:lvlJc w:val="right"/>
      <w:pPr>
        <w:ind w:left="435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1053"/>
    <w:rsid w:val="001121FE"/>
    <w:rsid w:val="001B1ED1"/>
    <w:rsid w:val="00321A44"/>
    <w:rsid w:val="003247A0"/>
    <w:rsid w:val="0033715C"/>
    <w:rsid w:val="0043765C"/>
    <w:rsid w:val="00487E21"/>
    <w:rsid w:val="005F09AE"/>
    <w:rsid w:val="007C1053"/>
    <w:rsid w:val="008441E3"/>
    <w:rsid w:val="00872C26"/>
    <w:rsid w:val="00944B61"/>
    <w:rsid w:val="00A11B44"/>
    <w:rsid w:val="00A3420C"/>
    <w:rsid w:val="00AE2DDF"/>
    <w:rsid w:val="00C06DE7"/>
    <w:rsid w:val="00D81298"/>
    <w:rsid w:val="00E67859"/>
    <w:rsid w:val="04C43739"/>
    <w:rsid w:val="180C611C"/>
    <w:rsid w:val="285256F4"/>
    <w:rsid w:val="48EF38BB"/>
    <w:rsid w:val="596838BE"/>
    <w:rsid w:val="651F2686"/>
    <w:rsid w:val="6C6C4C0F"/>
    <w:rsid w:val="6DC6288F"/>
    <w:rsid w:val="746D7233"/>
    <w:rsid w:val="75177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jc w:val="left"/>
      <w:outlineLvl w:val="0"/>
    </w:pPr>
    <w:rPr>
      <w:rFonts w:ascii="宋体" w:hAnsi="宋体" w:cs="宋体"/>
      <w:kern w:val="0"/>
      <w:sz w:val="32"/>
      <w:szCs w:val="32"/>
      <w:lang w:eastAsia="en-US"/>
    </w:rPr>
  </w:style>
  <w:style w:type="character" w:default="1" w:styleId="8">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Indent"/>
    <w:basedOn w:val="1"/>
    <w:link w:val="13"/>
    <w:semiHidden/>
    <w:unhideWhenUsed/>
    <w:qFormat/>
    <w:uiPriority w:val="99"/>
    <w:pPr>
      <w:spacing w:after="120"/>
      <w:ind w:left="420" w:leftChars="200"/>
    </w:p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Body Text First Indent 2"/>
    <w:basedOn w:val="1"/>
    <w:link w:val="14"/>
    <w:semiHidden/>
    <w:unhideWhenUsed/>
    <w:qFormat/>
    <w:uiPriority w:val="99"/>
    <w:pPr>
      <w:spacing w:after="120"/>
      <w:ind w:left="420" w:leftChars="200" w:firstLine="420"/>
    </w:pPr>
    <w:rPr>
      <w:rFonts w:ascii="Times New Roman" w:hAnsi="Times New Roman" w:eastAsia="宋体" w:cs="Times New Roman"/>
    </w:rPr>
  </w:style>
  <w:style w:type="paragraph" w:styleId="6">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Autospacing="1" w:afterAutospacing="1"/>
      <w:jc w:val="left"/>
    </w:pPr>
    <w:rPr>
      <w:kern w:val="0"/>
      <w:sz w:val="24"/>
    </w:rPr>
  </w:style>
  <w:style w:type="paragraph" w:styleId="10">
    <w:name w:val="List Paragraph"/>
    <w:basedOn w:val="1"/>
    <w:qFormat/>
    <w:uiPriority w:val="0"/>
    <w:pPr>
      <w:ind w:firstLine="420" w:firstLineChars="200"/>
    </w:pPr>
  </w:style>
  <w:style w:type="character" w:customStyle="1" w:styleId="11">
    <w:name w:val="页眉 Char"/>
    <w:basedOn w:val="8"/>
    <w:link w:val="6"/>
    <w:qFormat/>
    <w:uiPriority w:val="99"/>
    <w:rPr>
      <w:sz w:val="18"/>
      <w:szCs w:val="18"/>
    </w:rPr>
  </w:style>
  <w:style w:type="character" w:customStyle="1" w:styleId="12">
    <w:name w:val="页脚 Char"/>
    <w:basedOn w:val="8"/>
    <w:link w:val="4"/>
    <w:qFormat/>
    <w:uiPriority w:val="99"/>
    <w:rPr>
      <w:sz w:val="18"/>
      <w:szCs w:val="18"/>
    </w:rPr>
  </w:style>
  <w:style w:type="character" w:customStyle="1" w:styleId="13">
    <w:name w:val="正文文本缩进 Char"/>
    <w:basedOn w:val="8"/>
    <w:link w:val="3"/>
    <w:semiHidden/>
    <w:qFormat/>
    <w:uiPriority w:val="99"/>
  </w:style>
  <w:style w:type="character" w:customStyle="1" w:styleId="14">
    <w:name w:val="正文首行缩进 2 Char"/>
    <w:basedOn w:val="13"/>
    <w:link w:val="5"/>
    <w:semiHidden/>
    <w:qFormat/>
    <w:uiPriority w:val="99"/>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051F98B-A353-4D6B-9E24-713A01C6165D}">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145</Words>
  <Characters>830</Characters>
  <Lines>6</Lines>
  <Paragraphs>1</Paragraphs>
  <TotalTime>2</TotalTime>
  <ScaleCrop>false</ScaleCrop>
  <LinksUpToDate>false</LinksUpToDate>
  <CharactersWithSpaces>974</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2018-12-17T09:18:00Z</dcterms:created>
  <dc:creator>Administrator</dc:creator>
  <cp:lastModifiedBy>Administrator</cp:lastModifiedBy>
  <cp:lastPrinted>2019-04-17T06:44:00Z</cp:lastPrinted>
  <dcterms:modified xsi:type="dcterms:W3CDTF">2019-04-30T02:15:00Z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